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ORIENTAÇÕES GERAIS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PARA ELABORAÇÃO DE REPRESENTAÇÕES</w:t>
      </w:r>
    </w:p>
    <w:p w:rsidR="00000000" w:rsidDel="00000000" w:rsidP="00000000" w:rsidRDefault="00000000" w:rsidRPr="00000000" w14:paraId="00000004">
      <w:pPr>
        <w:tabs>
          <w:tab w:val="left" w:leader="none" w:pos="28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284"/>
        </w:tabs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1.  Redação</w:t>
      </w:r>
    </w:p>
    <w:p w:rsidR="00000000" w:rsidDel="00000000" w:rsidP="00000000" w:rsidRDefault="00000000" w:rsidRPr="00000000" w14:paraId="00000006">
      <w:pPr>
        <w:tabs>
          <w:tab w:val="left" w:leader="none" w:pos="284"/>
        </w:tabs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284"/>
        </w:tabs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As representações devem observar os seguintes requisitos: clareza, concisão, harmonia, impessoalidade e assertividade, conforme descritos a seguir, sem prejuízo de outros preceitos que porventura estejam contidos nas normas deste Tribunal.</w:t>
      </w:r>
    </w:p>
    <w:p w:rsidR="00000000" w:rsidDel="00000000" w:rsidP="00000000" w:rsidRDefault="00000000" w:rsidRPr="00000000" w14:paraId="00000008">
      <w:pPr>
        <w:tabs>
          <w:tab w:val="left" w:leader="none" w:pos="28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Clareza:</w:t>
      </w:r>
      <w:r w:rsidDel="00000000" w:rsidR="00000000" w:rsidRPr="00000000">
        <w:rPr>
          <w:rtl w:val="0"/>
        </w:rPr>
        <w:t xml:space="preserve"> consiste em produzir textos de fácil compreensão e abrange os aspectos visual e expositivo. </w:t>
      </w:r>
    </w:p>
    <w:p w:rsidR="00000000" w:rsidDel="00000000" w:rsidP="00000000" w:rsidRDefault="00000000" w:rsidRPr="00000000" w14:paraId="0000000A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a) Para obter a </w:t>
      </w:r>
      <w:r w:rsidDel="00000000" w:rsidR="00000000" w:rsidRPr="00000000">
        <w:rPr>
          <w:u w:val="single"/>
          <w:rtl w:val="0"/>
        </w:rPr>
        <w:t xml:space="preserve">clareza visual</w:t>
      </w:r>
      <w:r w:rsidDel="00000000" w:rsidR="00000000" w:rsidRPr="00000000">
        <w:rPr>
          <w:rtl w:val="0"/>
        </w:rPr>
        <w:t xml:space="preserve"> é necessário, basicamente: </w:t>
      </w:r>
    </w:p>
    <w:p w:rsidR="00000000" w:rsidDel="00000000" w:rsidP="00000000" w:rsidRDefault="00000000" w:rsidRPr="00000000" w14:paraId="0000000C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a.1) estruturar o texto de maneira bem definida, utilizando, conforme a extensão e complexidade da matéria, itens e divisões que facilitem a visão geral das questões examinadas; </w:t>
      </w:r>
    </w:p>
    <w:p w:rsidR="00000000" w:rsidDel="00000000" w:rsidP="00000000" w:rsidRDefault="00000000" w:rsidRPr="00000000" w14:paraId="0000000E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a.2) evitar sobrecarregar o texto com o uso exagerado dos recursos destinados ao destaque de termos e seções (caixa alta, negrito e sublinhado); </w:t>
      </w:r>
    </w:p>
    <w:p w:rsidR="00000000" w:rsidDel="00000000" w:rsidP="00000000" w:rsidRDefault="00000000" w:rsidRPr="00000000" w14:paraId="00000010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a.3) adotar espaçamentos e composições que contribuam para a distinção visual do conteúdo e das funções dos campos do documento; </w:t>
      </w:r>
    </w:p>
    <w:p w:rsidR="00000000" w:rsidDel="00000000" w:rsidP="00000000" w:rsidRDefault="00000000" w:rsidRPr="00000000" w14:paraId="00000012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284"/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a.4) adotar, sempre que necessário e útil para complementar o conteúdo do texto, tabelas ou outros recursos visuais cuja composição gráfica facilite a compreensão dos dados e informações que serão apresentados, lembrando que a utilização de fotos e imagens deve ser feita com o cuidado de evitar o aumento desnecessário do tamanho dos arquivos eletrônicos.</w:t>
      </w:r>
    </w:p>
    <w:p w:rsidR="00000000" w:rsidDel="00000000" w:rsidP="00000000" w:rsidRDefault="00000000" w:rsidRPr="00000000" w14:paraId="00000014">
      <w:pPr>
        <w:tabs>
          <w:tab w:val="left" w:leader="none" w:pos="284"/>
          <w:tab w:val="left" w:leader="none" w:pos="567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b) A </w:t>
      </w:r>
      <w:r w:rsidDel="00000000" w:rsidR="00000000" w:rsidRPr="00000000">
        <w:rPr>
          <w:u w:val="single"/>
          <w:rtl w:val="0"/>
        </w:rPr>
        <w:t xml:space="preserve">clareza expositiva</w:t>
      </w:r>
      <w:r w:rsidDel="00000000" w:rsidR="00000000" w:rsidRPr="00000000">
        <w:rPr>
          <w:rtl w:val="0"/>
        </w:rPr>
        <w:t xml:space="preserve"> pode ser alcançada por meio da: </w:t>
      </w:r>
    </w:p>
    <w:p w:rsidR="00000000" w:rsidDel="00000000" w:rsidP="00000000" w:rsidRDefault="00000000" w:rsidRPr="00000000" w14:paraId="00000016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b.1) apresentação dos fatos, argumentos e conclusões em sequência lógica, de forma ordenada e objetiva, preferencialmente anunciando, no início da exposição, como a exposição será estruturada; </w:t>
      </w:r>
    </w:p>
    <w:p w:rsidR="00000000" w:rsidDel="00000000" w:rsidP="00000000" w:rsidRDefault="00000000" w:rsidRPr="00000000" w14:paraId="00000018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b.2) indicação das peças) onde se encontram as informações utilizadas (provas documentais, comunicações processuais, documentos de defesa e outros elementos); </w:t>
      </w:r>
    </w:p>
    <w:p w:rsidR="00000000" w:rsidDel="00000000" w:rsidP="00000000" w:rsidRDefault="00000000" w:rsidRPr="00000000" w14:paraId="0000001A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b.3) correção gramatical, utilização de períodos e parágrafos curtos, simplicidade na construção de frases (sem intercalações desnecessárias de palavras ou orações) e emprego dos sinais de pontuação sem objetivo meramente estilístico; </w:t>
      </w:r>
    </w:p>
    <w:p w:rsidR="00000000" w:rsidDel="00000000" w:rsidP="00000000" w:rsidRDefault="00000000" w:rsidRPr="00000000" w14:paraId="0000001C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b.4) precisão vocabular, privilegiando a utilização de palavras e expressões em seu sentido comum, sem neologismo, regionalismo ou uso de jargões e termos ambíguos, com atenção especial ao correto emprego da terminologia de controle externo; </w:t>
      </w:r>
    </w:p>
    <w:p w:rsidR="00000000" w:rsidDel="00000000" w:rsidP="00000000" w:rsidRDefault="00000000" w:rsidRPr="00000000" w14:paraId="0000001E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b.5) limitação do uso de expressões estrangeiras e em latim apenas às de uso comum e que contribuam para a concisão do texto, a exemplo de efeitos </w:t>
      </w:r>
      <w:r w:rsidDel="00000000" w:rsidR="00000000" w:rsidRPr="00000000">
        <w:rPr>
          <w:i w:val="1"/>
          <w:rtl w:val="0"/>
        </w:rPr>
        <w:t xml:space="preserve">ex nunc</w:t>
      </w:r>
      <w:r w:rsidDel="00000000" w:rsidR="00000000" w:rsidRPr="00000000">
        <w:rPr>
          <w:rtl w:val="0"/>
        </w:rPr>
        <w:t xml:space="preserve"> e </w:t>
      </w:r>
      <w:r w:rsidDel="00000000" w:rsidR="00000000" w:rsidRPr="00000000">
        <w:rPr>
          <w:i w:val="1"/>
          <w:rtl w:val="0"/>
        </w:rPr>
        <w:t xml:space="preserve">ex tunc</w:t>
      </w:r>
      <w:r w:rsidDel="00000000" w:rsidR="00000000" w:rsidRPr="00000000">
        <w:rPr>
          <w:rtl w:val="0"/>
        </w:rPr>
        <w:t xml:space="preserve">; </w:t>
      </w:r>
    </w:p>
    <w:p w:rsidR="00000000" w:rsidDel="00000000" w:rsidP="00000000" w:rsidRDefault="00000000" w:rsidRPr="00000000" w14:paraId="00000020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b.6) restrição do uso de termos técnicos e expressões em outros idiomas, procurando, quando estes forem imprescindíveis, fornecer informações que evitem dúvidas; </w:t>
      </w:r>
    </w:p>
    <w:p w:rsidR="00000000" w:rsidDel="00000000" w:rsidP="00000000" w:rsidRDefault="00000000" w:rsidRPr="00000000" w14:paraId="00000022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leader="none" w:pos="284"/>
          <w:tab w:val="left" w:leader="none" w:pos="567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b.7) omissão de informações desnecessárias, pois o excesso de detalhes pouco relevantes, além de colocar em risco a clareza do texto, demanda esforço adicional da supervisão. Por exemplo: a indicação do número e datas de expedientes deve ser feita, apenas, quando essas informações forem necessárias à compreensão dos fatos ou à formação do entendimento pelos leitores.</w:t>
      </w:r>
    </w:p>
    <w:p w:rsidR="00000000" w:rsidDel="00000000" w:rsidP="00000000" w:rsidRDefault="00000000" w:rsidRPr="00000000" w14:paraId="00000024">
      <w:pPr>
        <w:tabs>
          <w:tab w:val="left" w:leader="none" w:pos="28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Concisão:</w:t>
      </w:r>
      <w:r w:rsidDel="00000000" w:rsidR="00000000" w:rsidRPr="00000000">
        <w:rPr>
          <w:rtl w:val="0"/>
        </w:rPr>
        <w:t xml:space="preserve"> é o requisito que diz respeito à transmissão de informações com o uso mínimo de palavras, sem a perda da qualidade da mensagem e sem prejuízo à abrangência das questões que devem ser examinadas. Requer economia linguística, o que não significa economia de pensamento. Para redigir de forma concisa, cabe ao autor: </w:t>
      </w:r>
    </w:p>
    <w:p w:rsidR="00000000" w:rsidDel="00000000" w:rsidP="00000000" w:rsidRDefault="00000000" w:rsidRPr="00000000" w14:paraId="0000002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a) evitar adjetivações desnecessárias, rodeios, emprego de pleonasmos e repetições de relatos ou comentários; </w:t>
      </w:r>
    </w:p>
    <w:p w:rsidR="00000000" w:rsidDel="00000000" w:rsidP="00000000" w:rsidRDefault="00000000" w:rsidRPr="00000000" w14:paraId="00000028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b) evitar o uso desnecessário de transcrições, tendo em mente que esse recurso somente deve ser adotado quando for essencial à compreensão dos argumentos e ao entendimento do raciocínio desenvolvido; </w:t>
      </w:r>
    </w:p>
    <w:p w:rsidR="00000000" w:rsidDel="00000000" w:rsidP="00000000" w:rsidRDefault="00000000" w:rsidRPr="00000000" w14:paraId="0000002A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284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c) lembrar que textos mais enxutos e claros tornam mais fácil a sua compreensão e refletem positivamente nas fases processuais seguintes e na celeridade do processo.</w:t>
      </w:r>
    </w:p>
    <w:p w:rsidR="00000000" w:rsidDel="00000000" w:rsidP="00000000" w:rsidRDefault="00000000" w:rsidRPr="00000000" w14:paraId="0000002C">
      <w:pPr>
        <w:tabs>
          <w:tab w:val="left" w:leader="none" w:pos="284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A harmonia do texto é o requisito que possibilita que a leitura se torne fluida e agradável. Assim, é importante: </w:t>
      </w:r>
    </w:p>
    <w:p w:rsidR="00000000" w:rsidDel="00000000" w:rsidP="00000000" w:rsidRDefault="00000000" w:rsidRPr="00000000" w14:paraId="0000002E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a) primar pela correção gramatical; </w:t>
      </w:r>
    </w:p>
    <w:p w:rsidR="00000000" w:rsidDel="00000000" w:rsidP="00000000" w:rsidRDefault="00000000" w:rsidRPr="00000000" w14:paraId="00000030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b) utilizar o mesmo tempo verbal ao longo do documento; </w:t>
      </w:r>
    </w:p>
    <w:p w:rsidR="00000000" w:rsidDel="00000000" w:rsidP="00000000" w:rsidRDefault="00000000" w:rsidRPr="00000000" w14:paraId="00000031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c) zelar pela coerência do texto, apresentando os fatos e argumentos de forma progressiva e ordenada e utilizando mecanismos de transição ou coesão textuais apropriados;</w:t>
      </w:r>
    </w:p>
    <w:p w:rsidR="00000000" w:rsidDel="00000000" w:rsidP="00000000" w:rsidRDefault="00000000" w:rsidRPr="00000000" w14:paraId="00000032">
      <w:pPr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d) atentar para o paralelismo, adotando a mesma forma gramatical para expor ideias similares ou para apresentar um elenco de constatações ou propostas; </w:t>
      </w:r>
    </w:p>
    <w:p w:rsidR="00000000" w:rsidDel="00000000" w:rsidP="00000000" w:rsidRDefault="00000000" w:rsidRPr="00000000" w14:paraId="00000033">
      <w:pPr>
        <w:tabs>
          <w:tab w:val="left" w:leader="none" w:pos="284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  <w:t xml:space="preserve">e) evitar o uso de recursos estilísticos como a repetição do mesmo fonema, cacofonia, emprego excessivo do “que” e repetição exagerada de palavras.</w:t>
      </w:r>
    </w:p>
    <w:p w:rsidR="00000000" w:rsidDel="00000000" w:rsidP="00000000" w:rsidRDefault="00000000" w:rsidRPr="00000000" w14:paraId="00000034">
      <w:pPr>
        <w:tabs>
          <w:tab w:val="left" w:leader="none" w:pos="284"/>
        </w:tabs>
        <w:spacing w:line="240" w:lineRule="auto"/>
        <w:ind w:left="567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Impessoalidade</w:t>
      </w:r>
      <w:r w:rsidDel="00000000" w:rsidR="00000000" w:rsidRPr="00000000">
        <w:rPr>
          <w:u w:val="single"/>
          <w:rtl w:val="0"/>
        </w:rPr>
        <w:t xml:space="preserve">:</w:t>
      </w:r>
      <w:r w:rsidDel="00000000" w:rsidR="00000000" w:rsidRPr="00000000">
        <w:rPr>
          <w:rtl w:val="0"/>
        </w:rPr>
        <w:t xml:space="preserve"> tem por objetivo a apresentação do texto de forma equilibrada em termos de conteúdo e tom. Trata-se de uma característica própria dos documentos oficiais, notadamente daqueles de controle externo, uma vez que a função de textos dessa natureza é registrar o exame das questões de maneira técnica, devendo, da mesma forma, nesses textos, ser observada a esperada imparcialidade, evitando-se a utilização de termos que valorizem de forma subjetiva as questões tratadas. </w:t>
      </w:r>
    </w:p>
    <w:p w:rsidR="00000000" w:rsidDel="00000000" w:rsidP="00000000" w:rsidRDefault="00000000" w:rsidRPr="00000000" w14:paraId="0000003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Assertividade: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 consiste em expor, com firmeza e convicção, de acordo com os elementos presentes no processo, a ocorrência, ou não, de irregularidades, a sua gravidade, a responsabilidade dos envolvidos, o nexo de causalidade e as medidas que devem ser adotadas, sem utilizar expressões que denotem insegurança, como “smj” (salvo melhor juízo) ou “parece que”.</w:t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284"/>
        </w:tabs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2. Estrutura</w:t>
      </w:r>
    </w:p>
    <w:p w:rsidR="00000000" w:rsidDel="00000000" w:rsidP="00000000" w:rsidRDefault="00000000" w:rsidRPr="00000000" w14:paraId="0000003A">
      <w:pPr>
        <w:tabs>
          <w:tab w:val="left" w:leader="none" w:pos="284"/>
        </w:tabs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284"/>
        </w:tabs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A estrutura do documento de representação deve conter a seguinte estrutura:</w:t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Qualificação:</w:t>
      </w:r>
      <w:r w:rsidDel="00000000" w:rsidR="00000000" w:rsidRPr="00000000">
        <w:rPr>
          <w:rtl w:val="0"/>
        </w:rPr>
        <w:t xml:space="preserve"> A representação deverá ser iniciada pela qualificação das partes, nos termos do art. 319, II do CPC, contendo informações gerais as partes envolvidas, na seguinte estrutura:</w:t>
      </w:r>
    </w:p>
    <w:p w:rsidR="00000000" w:rsidDel="00000000" w:rsidP="00000000" w:rsidRDefault="00000000" w:rsidRPr="00000000" w14:paraId="0000003E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Qualificação do Representante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spacing w:after="0" w:afterAutospacing="0" w:before="240" w:line="240" w:lineRule="auto"/>
        <w:ind w:left="720" w:hanging="360"/>
        <w:jc w:val="both"/>
      </w:pPr>
      <w:r w:rsidDel="00000000" w:rsidR="00000000" w:rsidRPr="00000000">
        <w:rPr>
          <w:b w:val="1"/>
          <w:rtl w:val="0"/>
        </w:rPr>
        <w:t xml:space="preserve">Identificação</w:t>
      </w:r>
      <w:r w:rsidDel="00000000" w:rsidR="00000000" w:rsidRPr="00000000">
        <w:rPr>
          <w:rtl w:val="0"/>
        </w:rPr>
        <w:t xml:space="preserve">: Nome ou denominação do órgão ou serviço que está realizando a representação (ex: "Tribunal de Contas do Estado de Goiás – Serviço de Fiscalização Temática").</w:t>
      </w:r>
    </w:p>
    <w:p w:rsidR="00000000" w:rsidDel="00000000" w:rsidP="00000000" w:rsidRDefault="00000000" w:rsidRPr="00000000" w14:paraId="00000041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jc w:val="both"/>
      </w:pPr>
      <w:r w:rsidDel="00000000" w:rsidR="00000000" w:rsidRPr="00000000">
        <w:rPr>
          <w:b w:val="1"/>
          <w:rtl w:val="0"/>
        </w:rPr>
        <w:t xml:space="preserve">Endereço</w:t>
      </w:r>
      <w:r w:rsidDel="00000000" w:rsidR="00000000" w:rsidRPr="00000000">
        <w:rPr>
          <w:rtl w:val="0"/>
        </w:rPr>
        <w:t xml:space="preserve">: Endereço completo do representante (rua, número, bairro, cidade, estado e CEP).</w:t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spacing w:after="240" w:before="0" w:beforeAutospacing="0" w:line="240" w:lineRule="auto"/>
        <w:ind w:left="720" w:hanging="360"/>
        <w:jc w:val="both"/>
      </w:pPr>
      <w:r w:rsidDel="00000000" w:rsidR="00000000" w:rsidRPr="00000000">
        <w:rPr>
          <w:b w:val="1"/>
          <w:rtl w:val="0"/>
        </w:rPr>
        <w:t xml:space="preserve">Telefone e E-mail</w:t>
      </w:r>
      <w:r w:rsidDel="00000000" w:rsidR="00000000" w:rsidRPr="00000000">
        <w:rPr>
          <w:rtl w:val="0"/>
        </w:rPr>
        <w:t xml:space="preserve">: Informações para contato.</w:t>
      </w:r>
    </w:p>
    <w:p w:rsidR="00000000" w:rsidDel="00000000" w:rsidP="00000000" w:rsidRDefault="00000000" w:rsidRPr="00000000" w14:paraId="00000043">
      <w:pPr>
        <w:spacing w:line="24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Qualificação do Representado</w:t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spacing w:after="0" w:afterAutospacing="0" w:before="240" w:line="240" w:lineRule="auto"/>
        <w:ind w:left="720" w:hanging="360"/>
        <w:jc w:val="both"/>
      </w:pPr>
      <w:r w:rsidDel="00000000" w:rsidR="00000000" w:rsidRPr="00000000">
        <w:rPr>
          <w:b w:val="1"/>
          <w:rtl w:val="0"/>
        </w:rPr>
        <w:t xml:space="preserve">Nome Completo</w:t>
      </w:r>
      <w:r w:rsidDel="00000000" w:rsidR="00000000" w:rsidRPr="00000000">
        <w:rPr>
          <w:rtl w:val="0"/>
        </w:rPr>
        <w:t xml:space="preserve">: Nome do gestor ou entidade pública envolvida na irregularidade.</w:t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jc w:val="both"/>
      </w:pPr>
      <w:r w:rsidDel="00000000" w:rsidR="00000000" w:rsidRPr="00000000">
        <w:rPr>
          <w:b w:val="1"/>
          <w:rtl w:val="0"/>
        </w:rPr>
        <w:t xml:space="preserve">Cargo ou Função</w:t>
      </w:r>
      <w:r w:rsidDel="00000000" w:rsidR="00000000" w:rsidRPr="00000000">
        <w:rPr>
          <w:rtl w:val="0"/>
        </w:rPr>
        <w:t xml:space="preserve">: Cargo que o representado ocupa (ex: "Secretário de Educação", "Governador").</w:t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jc w:val="both"/>
      </w:pPr>
      <w:r w:rsidDel="00000000" w:rsidR="00000000" w:rsidRPr="00000000">
        <w:rPr>
          <w:b w:val="1"/>
          <w:rtl w:val="0"/>
        </w:rPr>
        <w:t xml:space="preserve">CPF</w:t>
      </w:r>
      <w:r w:rsidDel="00000000" w:rsidR="00000000" w:rsidRPr="00000000">
        <w:rPr>
          <w:rtl w:val="0"/>
        </w:rPr>
        <w:t xml:space="preserve">: Número do Cadastro Nacional da Pessoa Física do representado, se possível.</w:t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jc w:val="both"/>
      </w:pPr>
      <w:r w:rsidDel="00000000" w:rsidR="00000000" w:rsidRPr="00000000">
        <w:rPr>
          <w:b w:val="1"/>
          <w:rtl w:val="0"/>
        </w:rPr>
        <w:t xml:space="preserve">Entidade ou Órgão</w:t>
      </w:r>
      <w:r w:rsidDel="00000000" w:rsidR="00000000" w:rsidRPr="00000000">
        <w:rPr>
          <w:rtl w:val="0"/>
        </w:rPr>
        <w:t xml:space="preserve">: Nome da entidade ou órgão onde o representado atua.</w:t>
      </w:r>
    </w:p>
    <w:p w:rsidR="00000000" w:rsidDel="00000000" w:rsidP="00000000" w:rsidRDefault="00000000" w:rsidRPr="00000000" w14:paraId="00000048">
      <w:pPr>
        <w:numPr>
          <w:ilvl w:val="0"/>
          <w:numId w:val="2"/>
        </w:numPr>
        <w:spacing w:after="240" w:before="0" w:beforeAutospacing="0" w:line="240" w:lineRule="auto"/>
        <w:ind w:left="720" w:hanging="360"/>
        <w:jc w:val="both"/>
      </w:pPr>
      <w:r w:rsidDel="00000000" w:rsidR="00000000" w:rsidRPr="00000000">
        <w:rPr>
          <w:b w:val="1"/>
          <w:rtl w:val="0"/>
        </w:rPr>
        <w:t xml:space="preserve">Endereço</w:t>
      </w:r>
      <w:r w:rsidDel="00000000" w:rsidR="00000000" w:rsidRPr="00000000">
        <w:rPr>
          <w:rtl w:val="0"/>
        </w:rPr>
        <w:t xml:space="preserve">: Endereço completo do representado ou da entidade em que atua.</w:t>
      </w:r>
    </w:p>
    <w:p w:rsidR="00000000" w:rsidDel="00000000" w:rsidP="00000000" w:rsidRDefault="00000000" w:rsidRPr="00000000" w14:paraId="00000049">
      <w:pPr>
        <w:tabs>
          <w:tab w:val="left" w:leader="none" w:pos="284"/>
        </w:tabs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861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13"/>
        <w:tblGridChange w:id="0">
          <w:tblGrid>
            <w:gridCol w:w="8613"/>
          </w:tblGrid>
        </w:tblGridChange>
      </w:tblGrid>
      <w:tr>
        <w:trPr>
          <w:cantSplit w:val="0"/>
          <w:trHeight w:val="1208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4A">
            <w:pPr>
              <w:tabs>
                <w:tab w:val="left" w:leader="none" w:pos="284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Exemplo:</w:t>
            </w:r>
          </w:p>
          <w:p w:rsidR="00000000" w:rsidDel="00000000" w:rsidP="00000000" w:rsidRDefault="00000000" w:rsidRPr="00000000" w14:paraId="0000004B">
            <w:pPr>
              <w:tabs>
                <w:tab w:val="left" w:leader="none" w:pos="284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tabs>
                <w:tab w:val="left" w:leader="none" w:pos="284"/>
              </w:tabs>
              <w:spacing w:after="240" w:before="240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1.  DA QUALIFICAÇÃO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284"/>
              </w:tabs>
              <w:spacing w:after="240" w:before="2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Representante:</w:t>
              <w:br w:type="textWrapping"/>
            </w:r>
            <w:r w:rsidDel="00000000" w:rsidR="00000000" w:rsidRPr="00000000">
              <w:rPr>
                <w:rtl w:val="0"/>
              </w:rPr>
              <w:t xml:space="preserve">Tribunal de Contas do Estado de Goiás – Serviço de Fiscalização Temática</w:t>
              <w:br w:type="textWrapping"/>
              <w:t xml:space="preserve">Endereço: Av. Ubirajara Berocan Leite, Nº 640. Setor Jaó. Goiânia/GO - CEP: 74.674-015</w:t>
              <w:br w:type="textWrapping"/>
              <w:t xml:space="preserve">Telefone: (62) XXXX-XXXX</w:t>
              <w:br w:type="textWrapping"/>
              <w:t xml:space="preserve">E-mail: fiscalizacao@tce.go.gov.br</w:t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284"/>
              </w:tabs>
              <w:spacing w:after="240" w:before="240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Representado:</w:t>
              <w:br w:type="textWrapping"/>
            </w:r>
            <w:r w:rsidDel="00000000" w:rsidR="00000000" w:rsidRPr="00000000">
              <w:rPr>
                <w:rtl w:val="0"/>
              </w:rPr>
              <w:t xml:space="preserve">Nome: XXXXX</w:t>
              <w:br w:type="textWrapping"/>
              <w:t xml:space="preserve">Cargo: Secretário de XXXXX</w:t>
              <w:br w:type="textWrapping"/>
              <w:t xml:space="preserve">Entidade: Secretaria de XXXXX</w:t>
              <w:br w:type="textWrapping"/>
              <w:t xml:space="preserve">CPF: XXXXXXXXX-XX</w:t>
              <w:br w:type="textWrapping"/>
              <w:t xml:space="preserve">Endereço: Avenida X, nº X, Setor X, Goiânia – GO, CEP XXXXX-XXX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284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284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tabs>
          <w:tab w:val="left" w:leader="none" w:pos="284"/>
        </w:tabs>
        <w:spacing w:line="240" w:lineRule="auto"/>
        <w:jc w:val="both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284"/>
        </w:tabs>
        <w:spacing w:line="240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284"/>
        </w:tabs>
        <w:spacing w:lin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Relatório: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Esta seção deve trazer uma exposição clara e detalhada dos fatos que motivaram a representação, com a descrição objetiva das irregularidades ou ilegalidades observadas, o contexto em que ocorreram, e o resumo dos documentos ou informações coletadas. O relatório serve para apresentar os fatos concretos ao Tribunal de Contas. </w:t>
      </w:r>
    </w:p>
    <w:p w:rsidR="00000000" w:rsidDel="00000000" w:rsidP="00000000" w:rsidRDefault="00000000" w:rsidRPr="00000000" w14:paraId="00000054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Deve-se lembrar que o relatório aproxima-se de um resumo, não sendo cabível a mera cópia ou repetição  de informações anteriores, devendo-se evitar a transcrição de trechos de peças processuais ou mesmo do acórdão. As informações devem ser sintetizadas sem prejuízo da perfeita identificação dos fatos.</w:t>
      </w:r>
    </w:p>
    <w:p w:rsidR="00000000" w:rsidDel="00000000" w:rsidP="00000000" w:rsidRDefault="00000000" w:rsidRPr="00000000" w14:paraId="0000005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3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35"/>
        <w:tblGridChange w:id="0">
          <w:tblGrid>
            <w:gridCol w:w="913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58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Exemplo:</w:t>
            </w:r>
          </w:p>
          <w:p w:rsidR="00000000" w:rsidDel="00000000" w:rsidP="00000000" w:rsidRDefault="00000000" w:rsidRPr="00000000" w14:paraId="00000059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Trata-se de representação encaminhada pelo </w:t>
            </w:r>
            <w:r w:rsidDel="00000000" w:rsidR="00000000" w:rsidRPr="00000000">
              <w:rPr>
                <w:b w:val="1"/>
                <w:rtl w:val="0"/>
              </w:rPr>
              <w:t xml:space="preserve">Serviço de Fiscalização Temática do Tribunal de Contas do Estado de Goiás</w:t>
            </w:r>
            <w:r w:rsidDel="00000000" w:rsidR="00000000" w:rsidRPr="00000000">
              <w:rPr>
                <w:rtl w:val="0"/>
              </w:rPr>
              <w:t xml:space="preserve"> contra</w:t>
            </w:r>
            <w:r w:rsidDel="00000000" w:rsidR="00000000" w:rsidRPr="00000000">
              <w:rPr>
                <w:rtl w:val="0"/>
              </w:rPr>
              <w:t xml:space="preserve"> irregularidades nas contratações de pessoal realizadas pela Sra. XXXX, ocupante do cargo XXX da Secretaria de XXX de Goiás, sem a devida observância às normas constitucionais de concurso público.</w:t>
            </w:r>
          </w:p>
          <w:p w:rsidR="00000000" w:rsidDel="00000000" w:rsidP="00000000" w:rsidRDefault="00000000" w:rsidRPr="00000000" w14:paraId="0000005B">
            <w:pPr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Conforme documentos analisados, verificou-se que entre os anos de 2022 e 2023, a Secretaria procedeu à contratação de servidores temporários em desacordo com o disposto no artigo 37, inciso II, da Constituição Federal, que exige a realização de concurso público para provimento de cargos efetivos na administração pública. Foram realizadas contratações diretas, sem justificativa adequada, especialmente para cargos técnicos permanentes, o que contraria também as disposições da Lei Estadual nº 20.918/2020.</w:t>
            </w:r>
          </w:p>
          <w:p w:rsidR="00000000" w:rsidDel="00000000" w:rsidP="00000000" w:rsidRDefault="00000000" w:rsidRPr="00000000" w14:paraId="0000005C">
            <w:pPr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Os documentos encaminhados incluem contratos de trabalho temporário, planilhas de pagamento e pareceres jurídicos internos da Secretaria de Educação, que indicam a contratação irregular de ao menos 150 servidores temporários, sem que tenham sido realizadas licitações ou outros procedimentos seletivos de ampla concorrência.</w:t>
            </w:r>
          </w:p>
          <w:p w:rsidR="00000000" w:rsidDel="00000000" w:rsidP="00000000" w:rsidRDefault="00000000" w:rsidRPr="00000000" w14:paraId="0000005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spacing w:line="240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Do direito</w:t>
      </w:r>
      <w:r w:rsidDel="00000000" w:rsidR="00000000" w:rsidRPr="00000000">
        <w:rPr>
          <w:b w:val="1"/>
          <w:rtl w:val="0"/>
        </w:rPr>
        <w:t xml:space="preserve">: </w:t>
      </w:r>
      <w:r w:rsidDel="00000000" w:rsidR="00000000" w:rsidRPr="00000000">
        <w:rPr>
          <w:rtl w:val="0"/>
        </w:rPr>
        <w:t xml:space="preserve">é o trecho da representação que deve conter a exposição detalhada da fundamentação e da análise técnica realizada. Deve ser claro, objetivo e baseado em normas, regulamentações e boas práticas aplicáveis. Também deve fornecer a base teórica e técnica que justifica a representação, apontando as irregularidades detectadas e os parâmetros que foram utilizados para a análise.</w:t>
      </w:r>
    </w:p>
    <w:p w:rsidR="00000000" w:rsidDel="00000000" w:rsidP="00000000" w:rsidRDefault="00000000" w:rsidRPr="00000000" w14:paraId="00000061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Serve para fundamentar juridicamente a denúncia, conectando os fatos relatados às normas, leis, e princípios jurídicos que foram supostamente violados. Esse tópico é essencial para demonstrar que as irregularidades ou ilegalidades apontadas têm embasamento em regras legais e doutrinárias, fortalecendo a argumentação da representação.</w:t>
      </w:r>
    </w:p>
    <w:p w:rsidR="00000000" w:rsidDel="00000000" w:rsidP="00000000" w:rsidRDefault="00000000" w:rsidRPr="00000000" w14:paraId="00000063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Este tópico deve descrever:</w:t>
      </w:r>
    </w:p>
    <w:p w:rsidR="00000000" w:rsidDel="00000000" w:rsidP="00000000" w:rsidRDefault="00000000" w:rsidRPr="00000000" w14:paraId="00000065">
      <w:pPr>
        <w:numPr>
          <w:ilvl w:val="0"/>
          <w:numId w:val="4"/>
        </w:numPr>
        <w:spacing w:before="200" w:line="2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O enquadramento jurídico, apresentando as normas, doutrinas e jurisprudências aplicáveis;</w:t>
      </w:r>
    </w:p>
    <w:p w:rsidR="00000000" w:rsidDel="00000000" w:rsidP="00000000" w:rsidRDefault="00000000" w:rsidRPr="00000000" w14:paraId="00000066">
      <w:pPr>
        <w:numPr>
          <w:ilvl w:val="0"/>
          <w:numId w:val="4"/>
        </w:numPr>
        <w:spacing w:before="200" w:line="2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A aplicação deste enquadramento jurídico ao caso concreto;</w:t>
      </w:r>
    </w:p>
    <w:p w:rsidR="00000000" w:rsidDel="00000000" w:rsidP="00000000" w:rsidRDefault="00000000" w:rsidRPr="00000000" w14:paraId="00000067">
      <w:pPr>
        <w:numPr>
          <w:ilvl w:val="0"/>
          <w:numId w:val="4"/>
        </w:numPr>
        <w:spacing w:before="200" w:line="240" w:lineRule="auto"/>
        <w:ind w:left="720" w:hanging="360"/>
        <w:jc w:val="both"/>
      </w:pPr>
      <w:r w:rsidDel="00000000" w:rsidR="00000000" w:rsidRPr="00000000">
        <w:rPr>
          <w:rtl w:val="0"/>
        </w:rPr>
        <w:t xml:space="preserve">A conclusão jurídica</w:t>
      </w:r>
    </w:p>
    <w:p w:rsidR="00000000" w:rsidDel="00000000" w:rsidP="00000000" w:rsidRDefault="00000000" w:rsidRPr="00000000" w14:paraId="00000068">
      <w:pPr>
        <w:spacing w:line="240" w:lineRule="auto"/>
        <w:ind w:left="709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ind w:left="709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ind w:left="709" w:firstLine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861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13"/>
        <w:tblGridChange w:id="0">
          <w:tblGrid>
            <w:gridCol w:w="8613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6B">
            <w:pPr>
              <w:shd w:fill="d9d9d9" w:val="clear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Exemplo:</w:t>
            </w:r>
          </w:p>
          <w:p w:rsidR="00000000" w:rsidDel="00000000" w:rsidP="00000000" w:rsidRDefault="00000000" w:rsidRPr="00000000" w14:paraId="0000006C">
            <w:pPr>
              <w:shd w:fill="d9d9d9" w:val="clear"/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 presente representação visa resguardar a aplicação do </w:t>
            </w:r>
            <w:r w:rsidDel="00000000" w:rsidR="00000000" w:rsidRPr="00000000">
              <w:rPr>
                <w:b w:val="1"/>
                <w:rtl w:val="0"/>
              </w:rPr>
              <w:t xml:space="preserve">art. 37, inciso II, da Constituição Federal</w:t>
            </w:r>
            <w:r w:rsidDel="00000000" w:rsidR="00000000" w:rsidRPr="00000000">
              <w:rPr>
                <w:rtl w:val="0"/>
              </w:rPr>
              <w:t xml:space="preserve">, que estabelece que a investidura em cargos públicos depende da aprovação prévia em concurso público, ressalvadas as nomeações para cargos comissionados. O princípio da </w:t>
            </w:r>
            <w:r w:rsidDel="00000000" w:rsidR="00000000" w:rsidRPr="00000000">
              <w:rPr>
                <w:b w:val="1"/>
                <w:rtl w:val="0"/>
              </w:rPr>
              <w:t xml:space="preserve">legalidade</w:t>
            </w:r>
            <w:r w:rsidDel="00000000" w:rsidR="00000000" w:rsidRPr="00000000">
              <w:rPr>
                <w:rtl w:val="0"/>
              </w:rPr>
              <w:t xml:space="preserve">, previsto no mesmo artigo, foi violado pela realização de contratações temporárias sem observância dos requisitos legais. A contratação de servidores temporários para funções de caráter permanente contraria esse dispositivo, configurando </w:t>
            </w:r>
            <w:r w:rsidDel="00000000" w:rsidR="00000000" w:rsidRPr="00000000">
              <w:rPr>
                <w:b w:val="1"/>
                <w:rtl w:val="0"/>
              </w:rPr>
              <w:t xml:space="preserve">ato de gestão ilegal</w:t>
            </w:r>
            <w:r w:rsidDel="00000000" w:rsidR="00000000" w:rsidRPr="00000000">
              <w:rPr>
                <w:rtl w:val="0"/>
              </w:rPr>
              <w:t xml:space="preserve">, suscetível de responsabilização.</w:t>
            </w:r>
          </w:p>
          <w:p w:rsidR="00000000" w:rsidDel="00000000" w:rsidP="00000000" w:rsidRDefault="00000000" w:rsidRPr="00000000" w14:paraId="0000006D">
            <w:pPr>
              <w:shd w:fill="d9d9d9" w:val="clear"/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Além disso, a Constituição Federal determina que contratações temporárias devem ser justificadas por necessidade temporária de excepcional interesse público, o que não foi verificado no presente caso, uma vez que as contratações ocorreram para o exercício de funções permanentes e não emergenciais.</w:t>
            </w:r>
          </w:p>
          <w:p w:rsidR="00000000" w:rsidDel="00000000" w:rsidP="00000000" w:rsidRDefault="00000000" w:rsidRPr="00000000" w14:paraId="0000006E">
            <w:pPr>
              <w:shd w:fill="d9d9d9" w:val="clear"/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Sob o ponto de vista doutrinário, é pacífico o entendimento de que o desrespeito ao concurso público atenta contra o princípio da </w:t>
            </w:r>
            <w:r w:rsidDel="00000000" w:rsidR="00000000" w:rsidRPr="00000000">
              <w:rPr>
                <w:b w:val="1"/>
                <w:rtl w:val="0"/>
              </w:rPr>
              <w:t xml:space="preserve">impessoalidade</w:t>
            </w:r>
            <w:r w:rsidDel="00000000" w:rsidR="00000000" w:rsidRPr="00000000">
              <w:rPr>
                <w:rtl w:val="0"/>
              </w:rPr>
              <w:t xml:space="preserve">, uma vez que a ausência de ampla concorrência compromete a igualdade de oportunidades para o ingresso na administração pública. Jurisprudência do Supremo Tribunal Federal (STF) e do Tribunal de Contas da União (TCU) têm reiteradamente reconhecido a inconstitucionalidade de contratações temporárias para cargos de natureza permanente, conforme decidido, por exemplo, no </w:t>
            </w:r>
            <w:r w:rsidDel="00000000" w:rsidR="00000000" w:rsidRPr="00000000">
              <w:rPr>
                <w:b w:val="1"/>
                <w:rtl w:val="0"/>
              </w:rPr>
              <w:t xml:space="preserve">RE xxxxxx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6F">
            <w:pPr>
              <w:shd w:fill="d9d9d9" w:val="clear"/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caso concreto, as contratações realizadas pela Secretaria de XXX de Goiás configuram clara afronta às normas constitucionais e infraconstitucionais, uma vez que não houve justificativa adequada para a contratação temporária de pessoal. Tais condutas resultam em aumento indevido de despesas públicas, sem qualquer observância dos preceitos legais, configurando ato ilegal de gestão, sujeito às sanções previstas na legislação.</w:t>
            </w:r>
          </w:p>
          <w:p w:rsidR="00000000" w:rsidDel="00000000" w:rsidP="00000000" w:rsidRDefault="00000000" w:rsidRPr="00000000" w14:paraId="00000070">
            <w:pPr>
              <w:shd w:fill="d9d9d9" w:val="clear"/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Diante disso, conclui-se que as contratações realizadas sem concurso público afrontam os princípios constitucionais e as normas infraconstitucionais aplicáveis, devendo o Tribunal de Contas adotar as medidas necessárias para a correção das irregularidades e a aplicação das sanções cabíveis aos gestores responsáveis.</w:t>
            </w:r>
          </w:p>
          <w:p w:rsidR="00000000" w:rsidDel="00000000" w:rsidP="00000000" w:rsidRDefault="00000000" w:rsidRPr="00000000" w14:paraId="00000071">
            <w:pPr>
              <w:shd w:fill="d9d9d9" w:val="clear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Da responsabilização</w:t>
      </w:r>
      <w:r w:rsidDel="00000000" w:rsidR="00000000" w:rsidRPr="00000000">
        <w:rPr>
          <w:b w:val="1"/>
          <w:rtl w:val="0"/>
        </w:rPr>
        <w:t xml:space="preserve">: </w:t>
      </w:r>
      <w:r w:rsidDel="00000000" w:rsidR="00000000" w:rsidRPr="00000000">
        <w:rPr>
          <w:rtl w:val="0"/>
        </w:rPr>
        <w:t xml:space="preserve">Este tópico em uma representação tem como objetivo identificar os responsáveis pelos atos ou omissões que geraram a irregularidade ou ilegalidade relatada, analisando a conduta sob a ótica da legislação pertinente. Deve abordar o nexo causal entre as ações (ou omissões) e o dano causado, além de explicar o grau de culpabilidade dos gestores envolvidos, propondo possíveis sanções ou medidas corretivas. </w:t>
      </w:r>
    </w:p>
    <w:p w:rsidR="00000000" w:rsidDel="00000000" w:rsidP="00000000" w:rsidRDefault="00000000" w:rsidRPr="00000000" w14:paraId="00000075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1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13"/>
        <w:tblGridChange w:id="0">
          <w:tblGrid>
            <w:gridCol w:w="8613"/>
          </w:tblGrid>
        </w:tblGridChange>
      </w:tblGrid>
      <w:tr>
        <w:trPr>
          <w:cantSplit w:val="0"/>
          <w:trHeight w:val="433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77">
            <w:pPr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Exemplo: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caso em tela, o gestor público que autorizou ou permitiu as contratações de pessoal sem observância das normas constitucionais e legais de concurso público incorreram em </w:t>
            </w:r>
            <w:r w:rsidDel="00000000" w:rsidR="00000000" w:rsidRPr="00000000">
              <w:rPr>
                <w:b w:val="1"/>
                <w:rtl w:val="0"/>
              </w:rPr>
              <w:t xml:space="preserve">atos de gestão ilegal</w:t>
            </w:r>
            <w:r w:rsidDel="00000000" w:rsidR="00000000" w:rsidRPr="00000000">
              <w:rPr>
                <w:rtl w:val="0"/>
              </w:rPr>
              <w:t xml:space="preserve">, conforme previsto no </w:t>
            </w:r>
            <w:r w:rsidDel="00000000" w:rsidR="00000000" w:rsidRPr="00000000">
              <w:rPr>
                <w:b w:val="1"/>
                <w:rtl w:val="0"/>
              </w:rPr>
              <w:t xml:space="preserve">art. 112, inciso II, da Lei Orgânica do Tribunal de Contas do Estado de Goiás (LOTCE-GO)</w:t>
            </w:r>
            <w:r w:rsidDel="00000000" w:rsidR="00000000" w:rsidRPr="00000000">
              <w:rPr>
                <w:rtl w:val="0"/>
              </w:rPr>
              <w:t xml:space="preserve">. A responsabilidade recai especialmente sobre o </w:t>
            </w:r>
            <w:r w:rsidDel="00000000" w:rsidR="00000000" w:rsidRPr="00000000">
              <w:rPr>
                <w:b w:val="1"/>
                <w:rtl w:val="0"/>
              </w:rPr>
              <w:t xml:space="preserve">Secretário XX</w:t>
            </w:r>
            <w:r w:rsidDel="00000000" w:rsidR="00000000" w:rsidRPr="00000000">
              <w:rPr>
                <w:rtl w:val="0"/>
              </w:rPr>
              <w:t xml:space="preserve">, que, no exercício de sua função, autorizou a contratação temporária em desrespeito aos preceitos legais.</w:t>
            </w:r>
          </w:p>
          <w:p w:rsidR="00000000" w:rsidDel="00000000" w:rsidP="00000000" w:rsidRDefault="00000000" w:rsidRPr="00000000" w14:paraId="00000079">
            <w:pPr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 conduta de autorizar contratações temporárias para funções permanentes, sem justificativa de excepcionalidade ou interesse público urgente, viola o princípio da </w:t>
            </w:r>
            <w:r w:rsidDel="00000000" w:rsidR="00000000" w:rsidRPr="00000000">
              <w:rPr>
                <w:b w:val="1"/>
                <w:rtl w:val="0"/>
              </w:rPr>
              <w:t xml:space="preserve">legalidade</w:t>
            </w:r>
            <w:r w:rsidDel="00000000" w:rsidR="00000000" w:rsidRPr="00000000">
              <w:rPr>
                <w:rtl w:val="0"/>
              </w:rPr>
              <w:t xml:space="preserve"> (art. 37, CF), que impõe aos gestores públicos a obrigatoriedade de agir em estrita conformidade com a lei. O nexo de causalidade está claro, pois a assinatura dos contratos temporários partiu diretamente do Secretário, o qual deveriam ter zelado pelo cumprimento das normas constitucionais.</w:t>
            </w:r>
          </w:p>
          <w:p w:rsidR="00000000" w:rsidDel="00000000" w:rsidP="00000000" w:rsidRDefault="00000000" w:rsidRPr="00000000" w14:paraId="0000007A">
            <w:pPr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A análise da </w:t>
            </w:r>
            <w:r w:rsidDel="00000000" w:rsidR="00000000" w:rsidRPr="00000000">
              <w:rPr>
                <w:b w:val="1"/>
                <w:rtl w:val="0"/>
              </w:rPr>
              <w:t xml:space="preserve">culpabilidade</w:t>
            </w:r>
            <w:r w:rsidDel="00000000" w:rsidR="00000000" w:rsidRPr="00000000">
              <w:rPr>
                <w:rtl w:val="0"/>
              </w:rPr>
              <w:t xml:space="preserve"> indica que o gestor agiu com, no mínimo, </w:t>
            </w:r>
            <w:r w:rsidDel="00000000" w:rsidR="00000000" w:rsidRPr="00000000">
              <w:rPr>
                <w:b w:val="1"/>
                <w:rtl w:val="0"/>
              </w:rPr>
              <w:t xml:space="preserve">negligência</w:t>
            </w:r>
            <w:r w:rsidDel="00000000" w:rsidR="00000000" w:rsidRPr="00000000">
              <w:rPr>
                <w:rtl w:val="0"/>
              </w:rPr>
              <w:t xml:space="preserve">, visto que a contratação sem concurso público para cargos de natureza permanente configura, além de ilegalidade, uma prática reiterada e contrária à jurisprudência pacífica dos Tribunais Superiores e do próprio Tribunal de Contas. A ausência de um processo seletivo adequado, ou qualquer justificativa válida para a urgência das contratações, reforça a negligência na gestão dos recursos humanos da entidade.</w:t>
            </w:r>
          </w:p>
          <w:p w:rsidR="00000000" w:rsidDel="00000000" w:rsidP="00000000" w:rsidRDefault="00000000" w:rsidRPr="00000000" w14:paraId="0000007B">
            <w:pPr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No que tange às possíveis sanções, a LOTCE-GO prevê, em seu </w:t>
            </w:r>
            <w:r w:rsidDel="00000000" w:rsidR="00000000" w:rsidRPr="00000000">
              <w:rPr>
                <w:b w:val="1"/>
                <w:rtl w:val="0"/>
              </w:rPr>
              <w:t xml:space="preserve">art. 112</w:t>
            </w:r>
            <w:r w:rsidDel="00000000" w:rsidR="00000000" w:rsidRPr="00000000">
              <w:rPr>
                <w:rtl w:val="0"/>
              </w:rPr>
              <w:t xml:space="preserve">, </w:t>
            </w:r>
            <w:r w:rsidDel="00000000" w:rsidR="00000000" w:rsidRPr="00000000">
              <w:rPr>
                <w:b w:val="1"/>
                <w:rtl w:val="0"/>
              </w:rPr>
              <w:t xml:space="preserve">II</w:t>
            </w:r>
            <w:r w:rsidDel="00000000" w:rsidR="00000000" w:rsidRPr="00000000">
              <w:rPr>
                <w:rtl w:val="0"/>
              </w:rPr>
              <w:t xml:space="preserve"> que os gestores responsáveis por atos de gestão ilegal podem ser penalizados com </w:t>
            </w:r>
            <w:r w:rsidDel="00000000" w:rsidR="00000000" w:rsidRPr="00000000">
              <w:rPr>
                <w:b w:val="1"/>
                <w:rtl w:val="0"/>
              </w:rPr>
              <w:t xml:space="preserve">multa</w:t>
            </w:r>
            <w:r w:rsidDel="00000000" w:rsidR="00000000" w:rsidRPr="00000000">
              <w:rPr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Conclui-se, portanto, que há responsabilidade por parte do gestor público envolvidos, que deve responder pelas irregularidades praticadas.</w:t>
            </w:r>
          </w:p>
          <w:p w:rsidR="00000000" w:rsidDel="00000000" w:rsidP="00000000" w:rsidRDefault="00000000" w:rsidRPr="00000000" w14:paraId="0000007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lin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Das evidências</w:t>
      </w:r>
      <w:r w:rsidDel="00000000" w:rsidR="00000000" w:rsidRPr="00000000">
        <w:rPr>
          <w:b w:val="1"/>
          <w:rtl w:val="0"/>
        </w:rPr>
        <w:t xml:space="preserve">: </w:t>
      </w:r>
      <w:r w:rsidDel="00000000" w:rsidR="00000000" w:rsidRPr="00000000">
        <w:rPr>
          <w:rtl w:val="0"/>
        </w:rPr>
        <w:t xml:space="preserve">Este tópico em uma representação tem como objetivo apresentar e descrever as provas documentais, testemunhais ou materiais que sustentam as alegações de irregularidades ou ilegalidades. Esse tópico é fundamental para dar credibilidade à representação e demonstrar que as afirmações feitas são respaldadas por informações concretas.</w:t>
      </w:r>
    </w:p>
    <w:p w:rsidR="00000000" w:rsidDel="00000000" w:rsidP="00000000" w:rsidRDefault="00000000" w:rsidRPr="00000000" w14:paraId="00000080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line="24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61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13"/>
        <w:tblGridChange w:id="0">
          <w:tblGrid>
            <w:gridCol w:w="8613"/>
          </w:tblGrid>
        </w:tblGridChange>
      </w:tblGrid>
      <w:tr>
        <w:trPr>
          <w:cantSplit w:val="0"/>
          <w:trHeight w:val="4337" w:hRule="atLeast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83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Exemplo:</w:t>
            </w:r>
          </w:p>
          <w:p w:rsidR="00000000" w:rsidDel="00000000" w:rsidP="00000000" w:rsidRDefault="00000000" w:rsidRPr="00000000" w14:paraId="0000008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Para sustentar a presente representação, foram coletadas e apresentadas as seguintes evidências que corroboram as alegações de irregularidades nas contratações de pessoal pela Secretaria de Estado XX de Goiás: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6"/>
              </w:numPr>
              <w:spacing w:after="0" w:afterAutospacing="0" w:before="240" w:lineRule="auto"/>
              <w:ind w:left="72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Contratos de Trabalho Temporário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Documentos</w:t>
            </w:r>
            <w:r w:rsidDel="00000000" w:rsidR="00000000" w:rsidRPr="00000000">
              <w:rPr>
                <w:rtl w:val="0"/>
              </w:rPr>
              <w:t xml:space="preserve">: Cópias dos contratos de trabalho temporário firmados com 150 servidores, datados de janeiro a março de 2023.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Relevância</w:t>
            </w:r>
            <w:r w:rsidDel="00000000" w:rsidR="00000000" w:rsidRPr="00000000">
              <w:rPr>
                <w:rtl w:val="0"/>
              </w:rPr>
              <w:t xml:space="preserve">: Esses contratos demonstram a contratação de servidores para atividades que, pela sua natureza, são permanentes e deveriam ter sido submetidas a concurso público, conforme a legislação vigente.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Planilhas de Pagamento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Documentos</w:t>
            </w:r>
            <w:r w:rsidDel="00000000" w:rsidR="00000000" w:rsidRPr="00000000">
              <w:rPr>
                <w:rtl w:val="0"/>
              </w:rPr>
              <w:t xml:space="preserve">: Planilhas de pagamento referentes aos meses de abril a junho de 2023, com identificação dos servidores contratados temporariamente.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Relevância</w:t>
            </w:r>
            <w:r w:rsidDel="00000000" w:rsidR="00000000" w:rsidRPr="00000000">
              <w:rPr>
                <w:rtl w:val="0"/>
              </w:rPr>
              <w:t xml:space="preserve">: As planilhas evidenciam a continuidade das contratações sem respaldo legal e os valores pagos ao erário, revelando o impacto financeiro das contratações irregulares.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Parecer Jurídico Interno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Documentos</w:t>
            </w:r>
            <w:r w:rsidDel="00000000" w:rsidR="00000000" w:rsidRPr="00000000">
              <w:rPr>
                <w:rtl w:val="0"/>
              </w:rPr>
              <w:t xml:space="preserve">: Parecer jurídico emitido pela Assessoria Jurídica da Secretaria, datado de fevereiro de 2023, opinando sobre a ilegalidade das contratações.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Relevância</w:t>
            </w:r>
            <w:r w:rsidDel="00000000" w:rsidR="00000000" w:rsidRPr="00000000">
              <w:rPr>
                <w:rtl w:val="0"/>
              </w:rPr>
              <w:t xml:space="preserve">: O parecer revela que, apesar da recomendação para realizar concurso público, as contratações foram efetivadas, indicando conhecimento prévio das ilegalidades pelos gestores.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Relatório de Auditoria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Documentos</w:t>
            </w:r>
            <w:r w:rsidDel="00000000" w:rsidR="00000000" w:rsidRPr="00000000">
              <w:rPr>
                <w:rtl w:val="0"/>
              </w:rPr>
              <w:t xml:space="preserve">: Relatório de auditoria realizado pelo Tribunal de Contas sobre a situação das contratações na Secretaria, publicado em março de 2023.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Relevância</w:t>
            </w:r>
            <w:r w:rsidDel="00000000" w:rsidR="00000000" w:rsidRPr="00000000">
              <w:rPr>
                <w:rtl w:val="0"/>
              </w:rPr>
              <w:t xml:space="preserve">: O relatório contém conclusões sobre a irregularidade das contratações, fundamentando as recomendações de correção e destacando a necessidade de responsabilização dos gestores envolvidos.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6"/>
              </w:numPr>
              <w:spacing w:after="0" w:afterAutospacing="0" w:before="0" w:beforeAutospacing="0" w:lineRule="auto"/>
              <w:ind w:left="72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Testemunhos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6"/>
              </w:numPr>
              <w:spacing w:after="0" w:afterAutospacing="0" w:before="0" w:beforeAutospacing="0" w:lineRule="auto"/>
              <w:ind w:left="144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Provas</w:t>
            </w:r>
            <w:r w:rsidDel="00000000" w:rsidR="00000000" w:rsidRPr="00000000">
              <w:rPr>
                <w:rtl w:val="0"/>
              </w:rPr>
              <w:t xml:space="preserve">: Declarações de servidores efetivos e contratados sobre a forma de contratação e a falta de um processo seletivo.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6"/>
              </w:numPr>
              <w:spacing w:after="240" w:before="0" w:beforeAutospacing="0" w:lineRule="auto"/>
              <w:ind w:left="1440" w:hanging="36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Relevância</w:t>
            </w:r>
            <w:r w:rsidDel="00000000" w:rsidR="00000000" w:rsidRPr="00000000">
              <w:rPr>
                <w:rtl w:val="0"/>
              </w:rPr>
              <w:t xml:space="preserve">: Os testemunhos corroboram a informação de que as contratações ocorreram sem os devidos procedimentos legais e evidenciam a preocupação dos servidores em relação à situação.</w:t>
            </w:r>
          </w:p>
          <w:p w:rsidR="00000000" w:rsidDel="00000000" w:rsidP="00000000" w:rsidRDefault="00000000" w:rsidRPr="00000000" w14:paraId="00000095">
            <w:pPr>
              <w:spacing w:after="240" w:befor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Essas evidências, quando analisadas em conjunto, demonstram a existência de irregularidades nas contratações de servidores pela Secretaria de Estado XXX, corroborando as alegações apresentadas nesta representação. </w:t>
            </w:r>
          </w:p>
        </w:tc>
      </w:tr>
    </w:tbl>
    <w:p w:rsidR="00000000" w:rsidDel="00000000" w:rsidP="00000000" w:rsidRDefault="00000000" w:rsidRPr="00000000" w14:paraId="00000096">
      <w:pPr>
        <w:spacing w:line="240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40" w:lineRule="auto"/>
        <w:jc w:val="both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240" w:lineRule="auto"/>
        <w:jc w:val="both"/>
        <w:rPr/>
      </w:pPr>
      <w:r w:rsidDel="00000000" w:rsidR="00000000" w:rsidRPr="00000000">
        <w:rPr>
          <w:b w:val="1"/>
          <w:u w:val="single"/>
          <w:rtl w:val="0"/>
        </w:rPr>
        <w:t xml:space="preserve">Proposta(s) de encaminhamento: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As propostas</w:t>
      </w:r>
      <w:r w:rsidDel="00000000" w:rsidR="00000000" w:rsidRPr="00000000">
        <w:rPr>
          <w:rtl w:val="0"/>
        </w:rPr>
        <w:t xml:space="preserve"> de encaminhamento devem contemplar sugestões de providências que necessitam ser adotadas à vista dos elementos contidos no documento e da análise empreendida., sendo fundamental para orientar o Tribunal sobre como proceder e qual a melhor forma de corrigir as falhas apontadas, além de garantir a responsabilização dos envolvidos.</w:t>
      </w:r>
    </w:p>
    <w:p w:rsidR="00000000" w:rsidDel="00000000" w:rsidP="00000000" w:rsidRDefault="00000000" w:rsidRPr="00000000" w14:paraId="00000099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hd w:fill="ffffff" w:val="clear"/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Ao final, deve-se realizar o encaminhamento dos autos. Em geral, será ao gabinete do Conselheiro Relator (trâmite mais comum), mas deve-se observar se o destinatário é outra unidade temática do Tribunal de Contas, conforme estabelecido no procedimento operacional.</w:t>
      </w:r>
    </w:p>
    <w:p w:rsidR="00000000" w:rsidDel="00000000" w:rsidP="00000000" w:rsidRDefault="00000000" w:rsidRPr="00000000" w14:paraId="0000009B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6"/>
        <w:tblW w:w="861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613"/>
        <w:tblGridChange w:id="0">
          <w:tblGrid>
            <w:gridCol w:w="8613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</w:tcPr>
          <w:p w:rsidR="00000000" w:rsidDel="00000000" w:rsidP="00000000" w:rsidRDefault="00000000" w:rsidRPr="00000000" w14:paraId="0000009C">
            <w:pPr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Exemplo:</w:t>
            </w:r>
          </w:p>
          <w:p w:rsidR="00000000" w:rsidDel="00000000" w:rsidP="00000000" w:rsidRDefault="00000000" w:rsidRPr="00000000" w14:paraId="0000009D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240" w:before="240"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Exemplo 1: Ao Conselheiro Relator</w:t>
            </w:r>
          </w:p>
          <w:p w:rsidR="00000000" w:rsidDel="00000000" w:rsidP="00000000" w:rsidRDefault="00000000" w:rsidRPr="00000000" w14:paraId="0000009F">
            <w:pPr>
              <w:spacing w:after="240" w:before="240" w:line="276" w:lineRule="auto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Diante do exposto, sugere-se a este Tribunal de Contas do Estado de Goiás que: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3"/>
              </w:numPr>
              <w:spacing w:after="0" w:afterAutospacing="0" w:before="24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Determine ao sr.(a) XXXXX, representante legal/responsável pela função x </w:t>
            </w:r>
            <w:r w:rsidDel="00000000" w:rsidR="00000000" w:rsidRPr="00000000">
              <w:rPr>
                <w:rtl w:val="0"/>
              </w:rPr>
              <w:t xml:space="preserve">do jurisdicionado, que implemente, no prazo de 180 dias, um plano de regularização das contratações irregulares, que inclua estudo de viabilidade para a realização de um concurso público para os cargos ocupados por servidores que foram contratados sem a devida formalização. O plano deve ser elaborado em conformidade com as normas vigentes e apresentar um cronograma que estabeleça prazos claros para o cumprimento das obrigações, respeitando os princípios da eficiência e da legalidade.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Determine ao sr.(a) XXXXX, representante legal/responsável pela função x, </w:t>
            </w:r>
            <w:r w:rsidDel="00000000" w:rsidR="00000000" w:rsidRPr="00000000">
              <w:rPr>
                <w:rtl w:val="0"/>
              </w:rPr>
              <w:t xml:space="preserve">que apresente previamente este plano de regularização a esta Corte de Contas para verificação da sua adequação no prazo de 90 dias.</w:t>
            </w:r>
          </w:p>
          <w:p w:rsidR="00000000" w:rsidDel="00000000" w:rsidP="00000000" w:rsidRDefault="00000000" w:rsidRPr="00000000" w14:paraId="000000A2">
            <w:pPr>
              <w:numPr>
                <w:ilvl w:val="0"/>
                <w:numId w:val="3"/>
              </w:numPr>
              <w:spacing w:after="0" w:afterAutospacing="0" w:before="0" w:beforeAutospacing="0" w:line="276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Recomende ao jurisdicionado </w:t>
            </w:r>
            <w:r w:rsidDel="00000000" w:rsidR="00000000" w:rsidRPr="00000000">
              <w:rPr>
                <w:rtl w:val="0"/>
              </w:rPr>
              <w:t xml:space="preserve">que realize uma análise detalhada dos contratos vigentes com os servidores contratados irregularmente, avaliando a possibilidade de adequação à legislação, considerando a situação de cada servidor e sua função no serviço público. Essa análise deve levar em conta a necessidade do serviço e a viabilidade da realização de um concurso, evitando assim a descontinuidade de serviços essenciais.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3"/>
              </w:numPr>
              <w:spacing w:after="240" w:before="0" w:beforeAutospacing="0" w:line="276" w:lineRule="auto"/>
              <w:ind w:left="720" w:hanging="360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Aplique a multa </w:t>
            </w:r>
            <w:r w:rsidDel="00000000" w:rsidR="00000000" w:rsidRPr="00000000">
              <w:rPr>
                <w:rtl w:val="0"/>
              </w:rPr>
              <w:t xml:space="preserve">prevista no art. 112, III, ao Sr.(a) pela prática de ato de gestão ilegítima conforme exposto na presente representação.</w:t>
            </w:r>
          </w:p>
          <w:p w:rsidR="00000000" w:rsidDel="00000000" w:rsidP="00000000" w:rsidRDefault="00000000" w:rsidRPr="00000000" w14:paraId="000000A4">
            <w:pPr>
              <w:spacing w:after="240" w:before="24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À consideração do Excelentíssimo Conselheiro Relator.</w:t>
            </w:r>
          </w:p>
          <w:p w:rsidR="00000000" w:rsidDel="00000000" w:rsidP="00000000" w:rsidRDefault="00000000" w:rsidRPr="00000000" w14:paraId="000000A5">
            <w:pPr>
              <w:spacing w:after="240" w:before="240" w:line="276" w:lineRule="auto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Exemplo 2: </w:t>
            </w:r>
            <w:r w:rsidDel="00000000" w:rsidR="00000000" w:rsidRPr="00000000">
              <w:rPr>
                <w:rtl w:val="0"/>
              </w:rPr>
              <w:t xml:space="preserve">à Gerência/Serviço de Fiscalização Temático</w:t>
            </w:r>
          </w:p>
          <w:p w:rsidR="00000000" w:rsidDel="00000000" w:rsidP="00000000" w:rsidRDefault="00000000" w:rsidRPr="00000000" w14:paraId="000000A6">
            <w:pPr>
              <w:spacing w:after="240" w:before="240" w:line="276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Diante do exposto, sugere-se à Gerência/Serviço de Fiscalização Temático que se manifeste favoravelmente à representação em seu parecer conclusivo e sugira a este Tribunal de Contas que:</w:t>
            </w:r>
          </w:p>
          <w:p w:rsidR="00000000" w:rsidDel="00000000" w:rsidP="00000000" w:rsidRDefault="00000000" w:rsidRPr="00000000" w14:paraId="000000A7">
            <w:pPr>
              <w:numPr>
                <w:ilvl w:val="0"/>
                <w:numId w:val="5"/>
              </w:numPr>
              <w:spacing w:after="0" w:afterAutospacing="0" w:before="24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Determine ao sr.(a) XXXXX, representante legal/responsável pela função x </w:t>
            </w:r>
            <w:r w:rsidDel="00000000" w:rsidR="00000000" w:rsidRPr="00000000">
              <w:rPr>
                <w:rtl w:val="0"/>
              </w:rPr>
              <w:t xml:space="preserve">do jurisdicionado, que implemente, no prazo de 180 dias, um plano de regularização das contratações irregulares, que inclua estudo de viabilidade para a realização de um concurso público para os cargos ocupados por servidores que foram contratados sem a devida formalização. O plano deve ser elaborado em conformidade com as normas vigentes e apresentar um cronograma que estabeleça prazos claros para o cumprimento das obrigações, respeitando os princípios da eficiência e da legalidade.</w:t>
            </w:r>
          </w:p>
          <w:p w:rsidR="00000000" w:rsidDel="00000000" w:rsidP="00000000" w:rsidRDefault="00000000" w:rsidRPr="00000000" w14:paraId="000000A8">
            <w:pPr>
              <w:numPr>
                <w:ilvl w:val="0"/>
                <w:numId w:val="5"/>
              </w:numPr>
              <w:spacing w:after="0" w:afterAutospacing="0" w:before="0" w:beforeAutospacing="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Determine ao sr.(a) XXXXX, representante legal/responsável pela função x, </w:t>
            </w:r>
            <w:r w:rsidDel="00000000" w:rsidR="00000000" w:rsidRPr="00000000">
              <w:rPr>
                <w:rtl w:val="0"/>
              </w:rPr>
              <w:t xml:space="preserve">que apresente previamente este plano de regularização a esta Corte de Contas para verificação da sua adequação no prazo de 90 dias.</w:t>
            </w:r>
          </w:p>
          <w:p w:rsidR="00000000" w:rsidDel="00000000" w:rsidP="00000000" w:rsidRDefault="00000000" w:rsidRPr="00000000" w14:paraId="000000A9">
            <w:pPr>
              <w:numPr>
                <w:ilvl w:val="0"/>
                <w:numId w:val="5"/>
              </w:numPr>
              <w:spacing w:after="0" w:afterAutospacing="0" w:before="0" w:beforeAutospacing="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Recomende ao jurisdicionado </w:t>
            </w:r>
            <w:r w:rsidDel="00000000" w:rsidR="00000000" w:rsidRPr="00000000">
              <w:rPr>
                <w:rtl w:val="0"/>
              </w:rPr>
              <w:t xml:space="preserve">que realize uma análise detalhada dos contratos vigentes com os servidores contratados irregularmente, avaliando a possibilidade de adequação à legislação, considerando a situação de cada servidor e sua função no serviço público. Essa análise deve levar em conta a necessidade do serviço e a viabilidade da realização de um concurso, evitando assim a descontinuidade de serviços essenciais.</w:t>
            </w:r>
          </w:p>
          <w:p w:rsidR="00000000" w:rsidDel="00000000" w:rsidP="00000000" w:rsidRDefault="00000000" w:rsidRPr="00000000" w14:paraId="000000AA">
            <w:pPr>
              <w:numPr>
                <w:ilvl w:val="0"/>
                <w:numId w:val="5"/>
              </w:numPr>
              <w:spacing w:after="240" w:before="0" w:beforeAutospacing="0" w:line="276" w:lineRule="auto"/>
              <w:ind w:left="720" w:hanging="360"/>
              <w:jc w:val="both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Aplique a multa </w:t>
            </w:r>
            <w:r w:rsidDel="00000000" w:rsidR="00000000" w:rsidRPr="00000000">
              <w:rPr>
                <w:rtl w:val="0"/>
              </w:rPr>
              <w:t xml:space="preserve">prevista no art. 112, III, ao Sr.(a) pela prática de ato de gestão ilegítima conforme exposto na presente representação.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hd w:fill="d9d9d9" w:val="clear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À consideração da Secretaria de Controle Externo.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tabs>
          <w:tab w:val="left" w:leader="none" w:pos="1134"/>
        </w:tabs>
        <w:spacing w:line="240" w:lineRule="auto"/>
        <w:ind w:right="-3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3. Formatação</w:t>
      </w:r>
    </w:p>
    <w:p w:rsidR="00000000" w:rsidDel="00000000" w:rsidP="00000000" w:rsidRDefault="00000000" w:rsidRPr="00000000" w14:paraId="000000AF">
      <w:pPr>
        <w:tabs>
          <w:tab w:val="left" w:leader="none" w:pos="1134"/>
        </w:tabs>
        <w:spacing w:line="240" w:lineRule="auto"/>
        <w:ind w:right="-3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tabs>
          <w:tab w:val="left" w:leader="none" w:pos="1134"/>
        </w:tabs>
        <w:spacing w:line="240" w:lineRule="auto"/>
        <w:ind w:right="-30"/>
        <w:jc w:val="both"/>
        <w:rPr/>
      </w:pPr>
      <w:r w:rsidDel="00000000" w:rsidR="00000000" w:rsidRPr="00000000">
        <w:rPr>
          <w:rtl w:val="0"/>
        </w:rPr>
        <w:t xml:space="preserve">Devem ser seguidas as especificações de formatação de texto, tabelas e demais normas de elaboração de documentos previstas no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Manual de Especificação e Padronização Documental</w:t>
        </w:r>
      </w:hyperlink>
      <w:r w:rsidDel="00000000" w:rsidR="00000000" w:rsidRPr="00000000">
        <w:rPr>
          <w:rtl w:val="0"/>
        </w:rPr>
        <w:t xml:space="preserve">.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1">
    <w:pPr>
      <w:widowControl w:val="0"/>
      <w:spacing w:line="276" w:lineRule="auto"/>
      <w:rPr>
        <w:rFonts w:ascii="Calibri" w:cs="Calibri" w:eastAsia="Calibri" w:hAnsi="Calibri"/>
      </w:rPr>
    </w:pPr>
    <w:r w:rsidDel="00000000" w:rsidR="00000000" w:rsidRPr="00000000">
      <w:rPr>
        <w:rtl w:val="0"/>
      </w:rPr>
    </w:r>
  </w:p>
  <w:tbl>
    <w:tblPr>
      <w:tblStyle w:val="Table7"/>
      <w:tblW w:w="9072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881"/>
      <w:gridCol w:w="6191"/>
      <w:tblGridChange w:id="0">
        <w:tblGrid>
          <w:gridCol w:w="2881"/>
          <w:gridCol w:w="6191"/>
        </w:tblGrid>
      </w:tblGridChange>
    </w:tblGrid>
    <w:tr>
      <w:trPr>
        <w:cantSplit w:val="0"/>
        <w:trHeight w:val="855" w:hRule="atLeast"/>
        <w:tblHeader w:val="0"/>
      </w:trPr>
      <w:tc>
        <w:tcPr/>
        <w:p w:rsidR="00000000" w:rsidDel="00000000" w:rsidP="00000000" w:rsidRDefault="00000000" w:rsidRPr="00000000" w14:paraId="000000B2">
          <w:pPr>
            <w:tabs>
              <w:tab w:val="center" w:leader="none" w:pos="4252"/>
              <w:tab w:val="right" w:leader="none" w:pos="8504"/>
            </w:tabs>
            <w:ind w:left="-567"/>
            <w:rPr>
              <w:rFonts w:ascii="Calibri" w:cs="Calibri" w:eastAsia="Calibri" w:hAnsi="Calibri"/>
            </w:rPr>
          </w:pPr>
          <w:bookmarkStart w:colFirst="0" w:colLast="0" w:name="_30j0zll" w:id="0"/>
          <w:bookmarkEnd w:id="0"/>
          <w:r w:rsidDel="00000000" w:rsidR="00000000" w:rsidRPr="00000000">
            <w:rPr>
              <w:rFonts w:ascii="Calibri" w:cs="Calibri" w:eastAsia="Calibri" w:hAnsi="Calibri"/>
            </w:rPr>
            <w:drawing>
              <wp:inline distB="0" distT="0" distL="0" distR="0">
                <wp:extent cx="1319316" cy="711429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bfbfbf" w:space="0" w:sz="4" w:val="single"/>
          </w:tcBorders>
          <w:vAlign w:val="center"/>
        </w:tcPr>
        <w:p w:rsidR="00000000" w:rsidDel="00000000" w:rsidP="00000000" w:rsidRDefault="00000000" w:rsidRPr="00000000" w14:paraId="000000B3">
          <w:pPr>
            <w:tabs>
              <w:tab w:val="center" w:leader="none" w:pos="4252"/>
              <w:tab w:val="right" w:leader="none" w:pos="8504"/>
            </w:tabs>
            <w:jc w:val="center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B4">
          <w:pPr>
            <w:tabs>
              <w:tab w:val="center" w:leader="none" w:pos="4252"/>
              <w:tab w:val="right" w:leader="none" w:pos="8504"/>
            </w:tabs>
            <w:jc w:val="center"/>
            <w:rPr/>
          </w:pPr>
          <w:r w:rsidDel="00000000" w:rsidR="00000000" w:rsidRPr="00000000">
            <w:rPr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B5">
          <w:pPr>
            <w:tabs>
              <w:tab w:val="center" w:leader="none" w:pos="4252"/>
              <w:tab w:val="right" w:leader="none" w:pos="8504"/>
            </w:tabs>
            <w:jc w:val="center"/>
            <w:rPr/>
          </w:pPr>
          <w:r w:rsidDel="00000000" w:rsidR="00000000" w:rsidRPr="00000000">
            <w:rPr>
              <w:rtl w:val="0"/>
            </w:rPr>
            <w:t xml:space="preserve">Gerência de Fiscalização </w:t>
          </w:r>
          <w:r w:rsidDel="00000000" w:rsidR="00000000" w:rsidRPr="00000000">
            <w:rPr>
              <w:color w:val="ff0000"/>
              <w:rtl w:val="0"/>
            </w:rPr>
            <w:t xml:space="preserve">Temática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B6">
          <w:pPr>
            <w:tabs>
              <w:tab w:val="center" w:leader="none" w:pos="4252"/>
              <w:tab w:val="right" w:leader="none" w:pos="8504"/>
            </w:tabs>
            <w:jc w:val="center"/>
            <w:rPr>
              <w:color w:val="ff0000"/>
              <w:sz w:val="20"/>
              <w:szCs w:val="20"/>
            </w:rPr>
          </w:pPr>
          <w:r w:rsidDel="00000000" w:rsidR="00000000" w:rsidRPr="00000000">
            <w:rPr>
              <w:rtl w:val="0"/>
            </w:rPr>
            <w:t xml:space="preserve">Serviço de Fiscalização </w:t>
          </w:r>
          <w:r w:rsidDel="00000000" w:rsidR="00000000" w:rsidRPr="00000000">
            <w:rPr>
              <w:color w:val="ff0000"/>
              <w:rtl w:val="0"/>
            </w:rPr>
            <w:t xml:space="preserve">Temático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7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u w:val="none"/>
      </w:rPr>
    </w:lvl>
  </w:abstractNum>
  <w:abstractNum w:abstractNumId="5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portal.tce.go.gov.br/documents/117455/370412/Manual+de+Padroniza%C3%A7%C3%A3o+Especifica%C3%A7%C3%A3o+Documental/e25cfc00-d228-47da-be90-108915d18b9e" TargetMode="Externa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